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BE5" w:rsidRPr="00574431" w:rsidRDefault="00241BE5" w:rsidP="00241BE5">
      <w:pPr>
        <w:spacing w:before="120"/>
        <w:jc w:val="center"/>
        <w:rPr>
          <w:sz w:val="28"/>
          <w:szCs w:val="28"/>
        </w:rPr>
      </w:pPr>
      <w:bookmarkStart w:id="0" w:name="chuong_pl_1_8_1"/>
      <w:r w:rsidRPr="00574431">
        <w:rPr>
          <w:b/>
          <w:bCs/>
          <w:sz w:val="28"/>
          <w:szCs w:val="28"/>
          <w:shd w:val="solid" w:color="FFFFFF" w:fill="auto"/>
          <w:lang w:val="vi-VN"/>
        </w:rPr>
        <w:t xml:space="preserve">BIỂU TỔNG HỢP KẾT QUẢ </w:t>
      </w:r>
      <w:r>
        <w:rPr>
          <w:b/>
          <w:bCs/>
          <w:sz w:val="28"/>
          <w:szCs w:val="28"/>
          <w:shd w:val="solid" w:color="FFFFFF" w:fill="auto"/>
        </w:rPr>
        <w:t>THẨM TRA MỨC ĐỘ ĐẠT CHUẨN</w:t>
      </w:r>
      <w:r w:rsidRPr="00574431">
        <w:rPr>
          <w:b/>
          <w:bCs/>
          <w:sz w:val="28"/>
          <w:szCs w:val="28"/>
          <w:shd w:val="solid" w:color="FFFFFF" w:fill="auto"/>
          <w:lang w:val="vi-VN"/>
        </w:rPr>
        <w:t xml:space="preserve"> CÁC TIÊU CHÍ XÃ NÔNG THÔN MỚI NÂNG CAO ĐẾN NĂM</w:t>
      </w:r>
      <w:r w:rsidRPr="00574431">
        <w:rPr>
          <w:b/>
          <w:bCs/>
          <w:sz w:val="28"/>
          <w:szCs w:val="28"/>
          <w:shd w:val="solid" w:color="FFFFFF" w:fill="auto"/>
        </w:rPr>
        <w:t xml:space="preserve"> </w:t>
      </w:r>
      <w:bookmarkEnd w:id="0"/>
      <w:r w:rsidRPr="00574431">
        <w:rPr>
          <w:b/>
          <w:bCs/>
          <w:sz w:val="28"/>
          <w:szCs w:val="28"/>
          <w:shd w:val="solid" w:color="FFFFFF" w:fill="auto"/>
        </w:rPr>
        <w:t>2022</w:t>
      </w:r>
      <w:r w:rsidRPr="00574431">
        <w:rPr>
          <w:sz w:val="28"/>
          <w:szCs w:val="28"/>
          <w:shd w:val="solid" w:color="FFFFFF" w:fill="auto"/>
        </w:rPr>
        <w:br/>
      </w:r>
      <w:bookmarkStart w:id="1" w:name="chuong_pl_1_8_1_name"/>
      <w:r w:rsidRPr="00574431">
        <w:rPr>
          <w:b/>
          <w:bCs/>
          <w:sz w:val="28"/>
          <w:szCs w:val="28"/>
          <w:shd w:val="solid" w:color="FFFFFF" w:fill="auto"/>
          <w:lang w:val="vi-VN"/>
        </w:rPr>
        <w:t xml:space="preserve">của xã </w:t>
      </w:r>
      <w:r w:rsidR="00D02FCD">
        <w:rPr>
          <w:b/>
          <w:bCs/>
          <w:sz w:val="28"/>
          <w:szCs w:val="28"/>
          <w:shd w:val="solid" w:color="FFFFFF" w:fill="auto"/>
        </w:rPr>
        <w:t>Tân Hiệp</w:t>
      </w:r>
      <w:r w:rsidRPr="00574431">
        <w:rPr>
          <w:b/>
          <w:bCs/>
          <w:sz w:val="28"/>
          <w:szCs w:val="28"/>
          <w:shd w:val="solid" w:color="FFFFFF" w:fill="auto"/>
          <w:lang w:val="vi-VN"/>
        </w:rPr>
        <w:t>, huyện</w:t>
      </w:r>
      <w:r>
        <w:rPr>
          <w:b/>
          <w:bCs/>
          <w:sz w:val="28"/>
          <w:szCs w:val="28"/>
          <w:shd w:val="solid" w:color="FFFFFF" w:fill="auto"/>
        </w:rPr>
        <w:t xml:space="preserve"> Long Thành,</w:t>
      </w:r>
      <w:r w:rsidRPr="00574431">
        <w:rPr>
          <w:b/>
          <w:bCs/>
          <w:sz w:val="28"/>
          <w:szCs w:val="28"/>
          <w:shd w:val="solid" w:color="FFFFFF" w:fill="auto"/>
          <w:lang w:val="vi-VN"/>
        </w:rPr>
        <w:t xml:space="preserve"> tỉnh</w:t>
      </w:r>
      <w:bookmarkEnd w:id="1"/>
      <w:r>
        <w:rPr>
          <w:b/>
          <w:bCs/>
          <w:sz w:val="28"/>
          <w:szCs w:val="28"/>
          <w:shd w:val="solid" w:color="FFFFFF" w:fill="auto"/>
        </w:rPr>
        <w:t xml:space="preserve"> Đồng Nai</w:t>
      </w:r>
    </w:p>
    <w:p w:rsidR="00241BE5" w:rsidRDefault="00241BE5" w:rsidP="00241BE5">
      <w:pPr>
        <w:spacing w:before="120"/>
        <w:jc w:val="center"/>
        <w:rPr>
          <w:i/>
          <w:iCs/>
          <w:shd w:val="solid" w:color="FFFFFF" w:fill="auto"/>
        </w:rPr>
      </w:pPr>
      <w:r>
        <w:rPr>
          <w:i/>
          <w:iCs/>
          <w:shd w:val="solid" w:color="FFFFFF" w:fill="auto"/>
          <w:lang w:val="vi-VN"/>
        </w:rPr>
        <w:t xml:space="preserve">(Kèm theo Báo cáo số </w:t>
      </w:r>
      <w:r>
        <w:rPr>
          <w:i/>
          <w:iCs/>
          <w:shd w:val="solid" w:color="FFFFFF" w:fill="auto"/>
        </w:rPr>
        <w:t xml:space="preserve">  </w:t>
      </w:r>
      <w:r>
        <w:rPr>
          <w:i/>
          <w:iCs/>
          <w:shd w:val="solid" w:color="FFFFFF" w:fill="auto"/>
          <w:lang w:val="vi-VN"/>
        </w:rPr>
        <w:t>/BC-UBND ngày</w:t>
      </w:r>
      <w:r>
        <w:rPr>
          <w:i/>
          <w:iCs/>
          <w:shd w:val="solid" w:color="FFFFFF" w:fill="auto"/>
        </w:rPr>
        <w:t xml:space="preserve">  </w:t>
      </w:r>
      <w:r>
        <w:rPr>
          <w:i/>
          <w:iCs/>
          <w:shd w:val="solid" w:color="FFFFFF" w:fill="auto"/>
          <w:lang w:val="vi-VN"/>
        </w:rPr>
        <w:t>tháng</w:t>
      </w:r>
      <w:r>
        <w:rPr>
          <w:i/>
          <w:iCs/>
          <w:shd w:val="solid" w:color="FFFFFF" w:fill="auto"/>
        </w:rPr>
        <w:t xml:space="preserve"> 10  </w:t>
      </w:r>
      <w:r>
        <w:rPr>
          <w:i/>
          <w:iCs/>
          <w:shd w:val="solid" w:color="FFFFFF" w:fill="auto"/>
          <w:lang w:val="vi-VN"/>
        </w:rPr>
        <w:t>năm 20</w:t>
      </w:r>
      <w:r>
        <w:rPr>
          <w:i/>
          <w:iCs/>
          <w:shd w:val="solid" w:color="FFFFFF" w:fill="auto"/>
        </w:rPr>
        <w:t>22</w:t>
      </w:r>
      <w:r>
        <w:rPr>
          <w:i/>
          <w:iCs/>
          <w:shd w:val="solid" w:color="FFFFFF" w:fill="auto"/>
          <w:lang w:val="vi-VN"/>
        </w:rPr>
        <w:t xml:space="preserve"> của UBND </w:t>
      </w:r>
      <w:r>
        <w:rPr>
          <w:i/>
          <w:iCs/>
          <w:shd w:val="solid" w:color="FFFFFF" w:fill="auto"/>
        </w:rPr>
        <w:t>huyện Long Thành</w:t>
      </w:r>
      <w:r>
        <w:rPr>
          <w:i/>
          <w:iCs/>
          <w:shd w:val="solid" w:color="FFFFFF" w:fill="auto"/>
          <w:lang w:val="vi-VN"/>
        </w:rPr>
        <w:t>)</w:t>
      </w:r>
    </w:p>
    <w:p w:rsidR="00D02FCD" w:rsidRDefault="00D02FCD" w:rsidP="00241BE5">
      <w:pPr>
        <w:spacing w:before="120"/>
        <w:jc w:val="center"/>
        <w:rPr>
          <w:i/>
          <w:iCs/>
          <w:shd w:val="solid" w:color="FFFFFF" w:fill="auto"/>
        </w:rPr>
      </w:pPr>
    </w:p>
    <w:tbl>
      <w:tblPr>
        <w:tblW w:w="10391" w:type="dxa"/>
        <w:tblInd w:w="-972" w:type="dxa"/>
        <w:tblLook w:val="04A0" w:firstRow="1" w:lastRow="0" w:firstColumn="1" w:lastColumn="0" w:noHBand="0" w:noVBand="1"/>
      </w:tblPr>
      <w:tblGrid>
        <w:gridCol w:w="539"/>
        <w:gridCol w:w="1239"/>
        <w:gridCol w:w="4072"/>
        <w:gridCol w:w="940"/>
        <w:gridCol w:w="1683"/>
        <w:gridCol w:w="959"/>
        <w:gridCol w:w="959"/>
      </w:tblGrid>
      <w:tr w:rsidR="00D02FCD" w:rsidRPr="00D02FCD" w:rsidTr="00146FEE">
        <w:trPr>
          <w:trHeight w:val="1705"/>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FCD" w:rsidRPr="00D02FCD" w:rsidRDefault="00D02FCD" w:rsidP="00D02FCD">
            <w:pPr>
              <w:jc w:val="center"/>
              <w:rPr>
                <w:b/>
                <w:bCs/>
                <w:color w:val="000000"/>
              </w:rPr>
            </w:pPr>
            <w:r w:rsidRPr="00D02FCD">
              <w:rPr>
                <w:b/>
                <w:bCs/>
                <w:color w:val="000000"/>
              </w:rPr>
              <w:t>TT</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FCD" w:rsidRPr="00D02FCD" w:rsidRDefault="00D02FCD" w:rsidP="00D02FCD">
            <w:pPr>
              <w:jc w:val="center"/>
              <w:rPr>
                <w:b/>
                <w:bCs/>
                <w:color w:val="000000"/>
              </w:rPr>
            </w:pPr>
            <w:r w:rsidRPr="00D02FCD">
              <w:rPr>
                <w:b/>
                <w:bCs/>
                <w:color w:val="000000"/>
              </w:rPr>
              <w:t>Tên tiêu chí</w:t>
            </w:r>
          </w:p>
        </w:tc>
        <w:tc>
          <w:tcPr>
            <w:tcW w:w="4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FCD" w:rsidRPr="00D02FCD" w:rsidRDefault="00D02FCD" w:rsidP="00D02FCD">
            <w:pPr>
              <w:jc w:val="center"/>
              <w:rPr>
                <w:b/>
                <w:bCs/>
                <w:color w:val="000000"/>
              </w:rPr>
            </w:pPr>
            <w:r w:rsidRPr="00D02FCD">
              <w:rPr>
                <w:b/>
                <w:bCs/>
                <w:color w:val="000000"/>
              </w:rPr>
              <w:t>Nội dung tiêu chí</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FCD" w:rsidRPr="00D02FCD" w:rsidRDefault="00D02FCD" w:rsidP="00D02FCD">
            <w:pPr>
              <w:jc w:val="center"/>
              <w:rPr>
                <w:b/>
                <w:bCs/>
                <w:color w:val="000000"/>
              </w:rPr>
            </w:pPr>
            <w:r w:rsidRPr="00D02FCD">
              <w:rPr>
                <w:b/>
                <w:bCs/>
                <w:color w:val="000000"/>
              </w:rPr>
              <w:t>Yêu cầu đạt chuẩn</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FCD" w:rsidRPr="00D02FCD" w:rsidRDefault="00D02FCD" w:rsidP="00D02FCD">
            <w:pPr>
              <w:jc w:val="center"/>
              <w:rPr>
                <w:b/>
                <w:bCs/>
                <w:color w:val="000000"/>
              </w:rPr>
            </w:pPr>
            <w:r w:rsidRPr="00D02FCD">
              <w:rPr>
                <w:b/>
                <w:bCs/>
                <w:color w:val="000000"/>
              </w:rPr>
              <w:t>Kết quả thực hiện</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FCD" w:rsidRPr="00D02FCD" w:rsidRDefault="00D02FCD" w:rsidP="00D02FCD">
            <w:pPr>
              <w:jc w:val="center"/>
              <w:rPr>
                <w:b/>
                <w:bCs/>
                <w:color w:val="000000"/>
              </w:rPr>
            </w:pPr>
            <w:r w:rsidRPr="00D02FCD">
              <w:rPr>
                <w:b/>
                <w:bCs/>
                <w:color w:val="000000"/>
              </w:rPr>
              <w:t>Kết quả tự đánh giá của xã</w:t>
            </w:r>
          </w:p>
        </w:tc>
        <w:tc>
          <w:tcPr>
            <w:tcW w:w="959" w:type="dxa"/>
            <w:tcBorders>
              <w:top w:val="single" w:sz="4" w:space="0" w:color="auto"/>
              <w:left w:val="single" w:sz="4" w:space="0" w:color="auto"/>
              <w:right w:val="single" w:sz="4" w:space="0" w:color="auto"/>
            </w:tcBorders>
            <w:vAlign w:val="center"/>
          </w:tcPr>
          <w:p w:rsidR="00D02FCD" w:rsidRPr="00D02FCD" w:rsidRDefault="00D02FCD" w:rsidP="00D02FCD">
            <w:pPr>
              <w:jc w:val="center"/>
              <w:rPr>
                <w:b/>
                <w:bCs/>
                <w:color w:val="000000"/>
              </w:rPr>
            </w:pPr>
            <w:r w:rsidRPr="00D02FCD">
              <w:rPr>
                <w:b/>
                <w:bCs/>
                <w:color w:val="000000"/>
              </w:rPr>
              <w:t xml:space="preserve">Kết quả đánh giá của </w:t>
            </w:r>
            <w:r>
              <w:rPr>
                <w:b/>
                <w:bCs/>
                <w:color w:val="000000"/>
              </w:rPr>
              <w:t>UBND huyện</w:t>
            </w:r>
            <w:bookmarkStart w:id="2" w:name="_GoBack"/>
            <w:bookmarkEnd w:id="2"/>
          </w:p>
        </w:tc>
      </w:tr>
      <w:tr w:rsidR="00D02FCD" w:rsidRPr="00D02FCD" w:rsidTr="002378EA">
        <w:trPr>
          <w:trHeight w:val="1095"/>
        </w:trPr>
        <w:tc>
          <w:tcPr>
            <w:tcW w:w="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2FCD" w:rsidRPr="00D02FCD" w:rsidRDefault="00D02FCD" w:rsidP="00D02FCD">
            <w:pPr>
              <w:jc w:val="center"/>
              <w:rPr>
                <w:b/>
                <w:bCs/>
                <w:color w:val="000000"/>
              </w:rPr>
            </w:pPr>
            <w:r w:rsidRPr="00D02FCD">
              <w:rPr>
                <w:b/>
                <w:bCs/>
                <w:color w:val="000000"/>
              </w:rPr>
              <w:t>1</w:t>
            </w:r>
          </w:p>
        </w:tc>
        <w:tc>
          <w:tcPr>
            <w:tcW w:w="12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2FCD" w:rsidRPr="00D02FCD" w:rsidRDefault="00D02FCD" w:rsidP="00D02FCD">
            <w:pPr>
              <w:jc w:val="center"/>
              <w:rPr>
                <w:b/>
                <w:bCs/>
                <w:color w:val="000000"/>
              </w:rPr>
            </w:pPr>
            <w:r w:rsidRPr="00D02FCD">
              <w:rPr>
                <w:b/>
                <w:bCs/>
                <w:color w:val="000000"/>
              </w:rPr>
              <w:t>Quy hoạch và thực hiện quy hoạch</w:t>
            </w:r>
          </w:p>
        </w:tc>
        <w:tc>
          <w:tcPr>
            <w:tcW w:w="4072" w:type="dxa"/>
            <w:tcBorders>
              <w:top w:val="single" w:sz="4" w:space="0" w:color="auto"/>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1.1. Quản lý và tổ chức triển khai thực hiện đúng quy hoạch xây dựng nông thôn mới; thường xuyên cập nhật, rà soát, bổ sung, công bố quy hoạch</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single" w:sz="4" w:space="0" w:color="auto"/>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147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1.2. Không có tổ chức, cá nhân vi phạm quy định về quản lý quy hoạch xây dựng nông thôn (hoặc quy hoạch xây dựng nông thôn mới) mà không thực hiện biện pháp khắc phục hậu quả do vi phạm theo quy định</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930"/>
        </w:trPr>
        <w:tc>
          <w:tcPr>
            <w:tcW w:w="539" w:type="dxa"/>
            <w:vMerge w:val="restart"/>
            <w:tcBorders>
              <w:top w:val="nil"/>
              <w:left w:val="single" w:sz="4" w:space="0" w:color="auto"/>
              <w:bottom w:val="single" w:sz="4" w:space="0" w:color="auto"/>
              <w:right w:val="single" w:sz="4" w:space="0" w:color="auto"/>
            </w:tcBorders>
            <w:shd w:val="clear" w:color="auto" w:fill="auto"/>
            <w:vAlign w:val="center"/>
            <w:hideMark/>
          </w:tcPr>
          <w:p w:rsidR="00D02FCD" w:rsidRPr="00D02FCD" w:rsidRDefault="00D02FCD" w:rsidP="00D02FCD">
            <w:pPr>
              <w:jc w:val="center"/>
              <w:rPr>
                <w:b/>
                <w:bCs/>
                <w:color w:val="000000"/>
              </w:rPr>
            </w:pPr>
            <w:r w:rsidRPr="00D02FCD">
              <w:rPr>
                <w:b/>
                <w:bCs/>
                <w:color w:val="000000"/>
              </w:rPr>
              <w:t>2</w:t>
            </w:r>
          </w:p>
        </w:tc>
        <w:tc>
          <w:tcPr>
            <w:tcW w:w="1239" w:type="dxa"/>
            <w:vMerge w:val="restart"/>
            <w:tcBorders>
              <w:top w:val="nil"/>
              <w:left w:val="single" w:sz="4" w:space="0" w:color="auto"/>
              <w:bottom w:val="single" w:sz="4" w:space="0" w:color="auto"/>
              <w:right w:val="single" w:sz="4" w:space="0" w:color="auto"/>
            </w:tcBorders>
            <w:shd w:val="clear" w:color="auto" w:fill="auto"/>
            <w:vAlign w:val="center"/>
            <w:hideMark/>
          </w:tcPr>
          <w:p w:rsidR="00D02FCD" w:rsidRPr="00D02FCD" w:rsidRDefault="00D02FCD" w:rsidP="00D02FCD">
            <w:pPr>
              <w:jc w:val="center"/>
              <w:rPr>
                <w:b/>
                <w:bCs/>
                <w:color w:val="000000"/>
              </w:rPr>
            </w:pPr>
            <w:r w:rsidRPr="00D02FCD">
              <w:rPr>
                <w:b/>
                <w:bCs/>
                <w:color w:val="000000"/>
              </w:rPr>
              <w:t>Giao thông</w:t>
            </w: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2.1. Tỷ lệ km đường trục thôn, xóm được nhựa hóa hoặc bê tông hóa đạt chuẩn theo cấp kỹ thuật của Bộ GTVT</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100%</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100%</w:t>
            </w:r>
            <w:r w:rsidRPr="00D02FCD">
              <w:rPr>
                <w:color w:val="000000"/>
              </w:rPr>
              <w:br/>
              <w:t>(9,2/9,2 km)</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810"/>
        </w:trPr>
        <w:tc>
          <w:tcPr>
            <w:tcW w:w="5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12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2.2. Tỷ lệ km đường ngõ, xóm được nhựa hóa hoặc bê tông hóa theo cấp kỹ thuật của Bộ GTVT</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 70%</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82%</w:t>
            </w:r>
            <w:r w:rsidRPr="00D02FCD">
              <w:rPr>
                <w:color w:val="000000"/>
              </w:rPr>
              <w:br/>
              <w:t>(4,3/5,3 km)</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900"/>
        </w:trPr>
        <w:tc>
          <w:tcPr>
            <w:tcW w:w="5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12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2.3. Tỷ lệ đường trục chính nội đồng được nhựa hóa hoặc bê tông hóa đạt chuẩn theo cấp kỹ thuật của Bộ GTVT</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 50%</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53%</w:t>
            </w:r>
            <w:r w:rsidRPr="00D02FCD">
              <w:rPr>
                <w:color w:val="000000"/>
              </w:rPr>
              <w:br/>
              <w:t>(1,46/2,7 km)</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855"/>
        </w:trPr>
        <w:tc>
          <w:tcPr>
            <w:tcW w:w="5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12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2.4. Tỷ lệ km đường trục xã, liên xã, đường trục thôn xóm đảm bảo “Sáng, xanh, sạch, đẹp”</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100%</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100%</w:t>
            </w:r>
            <w:r w:rsidRPr="00D02FCD">
              <w:rPr>
                <w:color w:val="000000"/>
              </w:rPr>
              <w:br/>
              <w:t>(29,2/29,2 km)</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855"/>
        </w:trPr>
        <w:tc>
          <w:tcPr>
            <w:tcW w:w="5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12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2.5. Tỷ lệ km đường ngõ xóm đảm bảo “Sáng, xanh, sạch, đẹp”</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 70%</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81,13%</w:t>
            </w:r>
            <w:r w:rsidRPr="00D02FCD">
              <w:rPr>
                <w:color w:val="000000"/>
              </w:rPr>
              <w:br/>
              <w:t>(4,3/5,3 km)</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885"/>
        </w:trPr>
        <w:tc>
          <w:tcPr>
            <w:tcW w:w="5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12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2.6. Tất cả các tuyến đường giao thông nông thôn được bảo trì thường xuyên và đảm bảo an toàn giao thông</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1065"/>
        </w:trPr>
        <w:tc>
          <w:tcPr>
            <w:tcW w:w="539" w:type="dxa"/>
            <w:vMerge w:val="restart"/>
            <w:tcBorders>
              <w:top w:val="nil"/>
              <w:left w:val="single" w:sz="4" w:space="0" w:color="auto"/>
              <w:bottom w:val="single" w:sz="4" w:space="0" w:color="auto"/>
              <w:right w:val="single" w:sz="4" w:space="0" w:color="auto"/>
            </w:tcBorders>
            <w:shd w:val="clear" w:color="auto" w:fill="auto"/>
            <w:vAlign w:val="center"/>
            <w:hideMark/>
          </w:tcPr>
          <w:p w:rsidR="00D02FCD" w:rsidRPr="00D02FCD" w:rsidRDefault="00D02FCD" w:rsidP="00D02FCD">
            <w:pPr>
              <w:jc w:val="center"/>
              <w:rPr>
                <w:b/>
                <w:bCs/>
                <w:color w:val="000000"/>
              </w:rPr>
            </w:pPr>
            <w:r w:rsidRPr="00D02FCD">
              <w:rPr>
                <w:b/>
                <w:bCs/>
                <w:color w:val="000000"/>
              </w:rPr>
              <w:t>3</w:t>
            </w:r>
          </w:p>
        </w:tc>
        <w:tc>
          <w:tcPr>
            <w:tcW w:w="1239" w:type="dxa"/>
            <w:vMerge w:val="restart"/>
            <w:tcBorders>
              <w:top w:val="nil"/>
              <w:left w:val="single" w:sz="4" w:space="0" w:color="auto"/>
              <w:bottom w:val="single" w:sz="4" w:space="0" w:color="auto"/>
              <w:right w:val="single" w:sz="4" w:space="0" w:color="auto"/>
            </w:tcBorders>
            <w:shd w:val="clear" w:color="auto" w:fill="auto"/>
            <w:vAlign w:val="center"/>
            <w:hideMark/>
          </w:tcPr>
          <w:p w:rsidR="00D02FCD" w:rsidRPr="00D02FCD" w:rsidRDefault="00D02FCD" w:rsidP="00D02FCD">
            <w:pPr>
              <w:jc w:val="center"/>
              <w:rPr>
                <w:b/>
                <w:bCs/>
                <w:color w:val="000000"/>
              </w:rPr>
            </w:pPr>
            <w:r w:rsidRPr="00D02FCD">
              <w:rPr>
                <w:b/>
                <w:bCs/>
                <w:color w:val="000000"/>
              </w:rPr>
              <w:t>Thủy lợi</w:t>
            </w: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3.1. Tỷ lệ diện tích đất được tưới để sản xuất nông nghiệp vào mùa khô từ các nguồn (trừ trường hợp thiếu nguồn nước, kể cả nước ngầm)</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 85%</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100%</w:t>
            </w:r>
            <w:r w:rsidRPr="00D02FCD">
              <w:rPr>
                <w:color w:val="000000"/>
              </w:rPr>
              <w:br/>
              <w:t>(162,7/162,7 ha)</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870"/>
        </w:trPr>
        <w:tc>
          <w:tcPr>
            <w:tcW w:w="5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12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3.2. Tỷ lệ km kênh mương trên địa bàn xã được kiên cố hóa và duy tu bảo dưỡng thường xuyên</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100%</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100%</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1050"/>
        </w:trPr>
        <w:tc>
          <w:tcPr>
            <w:tcW w:w="5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12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3.3. Tỷ lệ diện tích cây trồng được sử dụng kỹ thuật tưới nước tiết kiệm so với tổng diện tích cây trồng cạn trên địa bàn xã</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Năm 2020: ≥ 45%</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49,1%</w:t>
            </w:r>
            <w:r w:rsidRPr="00D02FCD">
              <w:rPr>
                <w:color w:val="000000"/>
              </w:rPr>
              <w:br/>
              <w:t>(79,9/162,7 ha)</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85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D02FCD" w:rsidRPr="00D02FCD" w:rsidRDefault="00D02FCD" w:rsidP="00D02FCD">
            <w:pPr>
              <w:jc w:val="center"/>
              <w:rPr>
                <w:b/>
                <w:bCs/>
                <w:color w:val="000000"/>
              </w:rPr>
            </w:pPr>
            <w:r w:rsidRPr="00D02FCD">
              <w:rPr>
                <w:b/>
                <w:bCs/>
                <w:color w:val="000000"/>
              </w:rPr>
              <w:t>4</w:t>
            </w:r>
          </w:p>
        </w:tc>
        <w:tc>
          <w:tcPr>
            <w:tcW w:w="123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b/>
                <w:bCs/>
                <w:color w:val="000000"/>
              </w:rPr>
            </w:pPr>
            <w:r w:rsidRPr="00D02FCD">
              <w:rPr>
                <w:b/>
                <w:bCs/>
                <w:color w:val="000000"/>
              </w:rPr>
              <w:t>Điện</w:t>
            </w: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Tỷ lệ điện đáp ứng nhu cầu cho khu sản xuất, chăn nuôi, tiểu thủ công nghiệp, thủy sản tập trung theo quy hoạch</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 85%</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Không có</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85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D02FCD" w:rsidRPr="00D02FCD" w:rsidRDefault="00D02FCD" w:rsidP="00D02FCD">
            <w:pPr>
              <w:jc w:val="center"/>
              <w:rPr>
                <w:b/>
                <w:bCs/>
                <w:color w:val="000000"/>
              </w:rPr>
            </w:pPr>
            <w:r w:rsidRPr="00D02FCD">
              <w:rPr>
                <w:b/>
                <w:bCs/>
                <w:color w:val="000000"/>
              </w:rPr>
              <w:t>5</w:t>
            </w:r>
          </w:p>
        </w:tc>
        <w:tc>
          <w:tcPr>
            <w:tcW w:w="123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b/>
                <w:bCs/>
                <w:color w:val="000000"/>
              </w:rPr>
            </w:pPr>
            <w:r w:rsidRPr="00D02FCD">
              <w:rPr>
                <w:b/>
                <w:bCs/>
                <w:color w:val="000000"/>
              </w:rPr>
              <w:t>Trường học</w:t>
            </w: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Tỷ lệ trường học các cấp: Mầm non, mẫu giáo, tiểu học, THCS, được công nhận trường đạt chuẩn Quốc gia</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 75%</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 xml:space="preserve">100% </w:t>
            </w:r>
            <w:r w:rsidRPr="00D02FCD">
              <w:rPr>
                <w:color w:val="000000"/>
              </w:rPr>
              <w:br/>
              <w:t>(3/3 trường)</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115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D02FCD" w:rsidRPr="00D02FCD" w:rsidRDefault="00D02FCD" w:rsidP="00D02FCD">
            <w:pPr>
              <w:jc w:val="center"/>
              <w:rPr>
                <w:b/>
                <w:bCs/>
                <w:color w:val="000000"/>
              </w:rPr>
            </w:pPr>
            <w:r w:rsidRPr="00D02FCD">
              <w:rPr>
                <w:b/>
                <w:bCs/>
                <w:color w:val="000000"/>
              </w:rPr>
              <w:t>6</w:t>
            </w:r>
          </w:p>
        </w:tc>
        <w:tc>
          <w:tcPr>
            <w:tcW w:w="123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b/>
                <w:bCs/>
                <w:color w:val="000000"/>
              </w:rPr>
            </w:pPr>
            <w:r w:rsidRPr="00D02FCD">
              <w:rPr>
                <w:b/>
                <w:bCs/>
                <w:color w:val="000000"/>
              </w:rPr>
              <w:t>Cơ sở vật chất văn hóa</w:t>
            </w: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Trung tâm Văn hóa - Thể thao học tập cộng đồng xã, Nhà văn hóa ấp được duy tu, bảo dưỡng thường xuyên và hoạt động có hiệu quả</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100%</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 xml:space="preserve">100% </w:t>
            </w:r>
            <w:r w:rsidRPr="00D02FCD">
              <w:rPr>
                <w:color w:val="000000"/>
              </w:rPr>
              <w:br/>
              <w:t>(5/5 ấp)</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157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D02FCD" w:rsidRPr="00D02FCD" w:rsidRDefault="00D02FCD" w:rsidP="00D02FCD">
            <w:pPr>
              <w:jc w:val="center"/>
              <w:rPr>
                <w:b/>
                <w:bCs/>
                <w:color w:val="000000"/>
              </w:rPr>
            </w:pPr>
            <w:r w:rsidRPr="00D02FCD">
              <w:rPr>
                <w:b/>
                <w:bCs/>
                <w:color w:val="000000"/>
              </w:rPr>
              <w:t>7</w:t>
            </w:r>
          </w:p>
        </w:tc>
        <w:tc>
          <w:tcPr>
            <w:tcW w:w="123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b/>
                <w:bCs/>
                <w:color w:val="000000"/>
              </w:rPr>
            </w:pPr>
            <w:r w:rsidRPr="00D02FCD">
              <w:rPr>
                <w:b/>
                <w:bCs/>
                <w:color w:val="000000"/>
              </w:rPr>
              <w:t>Cơ sở hạ tầng thương mại nông thôn</w:t>
            </w: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Chợ đạt chuẩn chợ văn hóa theo chuẩn của tỉnh và không có tụ điểm kinh doanh tự phát trên địa bàn</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945"/>
        </w:trPr>
        <w:tc>
          <w:tcPr>
            <w:tcW w:w="539" w:type="dxa"/>
            <w:vMerge w:val="restart"/>
            <w:tcBorders>
              <w:top w:val="nil"/>
              <w:left w:val="single" w:sz="4" w:space="0" w:color="auto"/>
              <w:bottom w:val="single" w:sz="4" w:space="0" w:color="auto"/>
              <w:right w:val="single" w:sz="4" w:space="0" w:color="auto"/>
            </w:tcBorders>
            <w:shd w:val="clear" w:color="auto" w:fill="auto"/>
            <w:vAlign w:val="center"/>
            <w:hideMark/>
          </w:tcPr>
          <w:p w:rsidR="00D02FCD" w:rsidRPr="00D02FCD" w:rsidRDefault="00D02FCD" w:rsidP="00D02FCD">
            <w:pPr>
              <w:jc w:val="center"/>
              <w:rPr>
                <w:b/>
                <w:bCs/>
                <w:color w:val="000000"/>
              </w:rPr>
            </w:pPr>
            <w:r w:rsidRPr="00D02FCD">
              <w:rPr>
                <w:b/>
                <w:bCs/>
                <w:color w:val="000000"/>
              </w:rPr>
              <w:t>8</w:t>
            </w:r>
          </w:p>
        </w:tc>
        <w:tc>
          <w:tcPr>
            <w:tcW w:w="1239" w:type="dxa"/>
            <w:vMerge w:val="restart"/>
            <w:tcBorders>
              <w:top w:val="nil"/>
              <w:left w:val="single" w:sz="4" w:space="0" w:color="auto"/>
              <w:bottom w:val="single" w:sz="4" w:space="0" w:color="auto"/>
              <w:right w:val="single" w:sz="4" w:space="0" w:color="auto"/>
            </w:tcBorders>
            <w:shd w:val="clear" w:color="auto" w:fill="auto"/>
            <w:vAlign w:val="center"/>
            <w:hideMark/>
          </w:tcPr>
          <w:p w:rsidR="00D02FCD" w:rsidRPr="00D02FCD" w:rsidRDefault="00D02FCD" w:rsidP="00D02FCD">
            <w:pPr>
              <w:jc w:val="center"/>
              <w:rPr>
                <w:b/>
                <w:bCs/>
                <w:color w:val="000000"/>
              </w:rPr>
            </w:pPr>
            <w:r w:rsidRPr="00D02FCD">
              <w:rPr>
                <w:b/>
                <w:bCs/>
                <w:color w:val="000000"/>
              </w:rPr>
              <w:t>Thông tin và Truyền thông</w:t>
            </w: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8.1. Đảm bảo cung cấp tất cả dịch vụ công trực tuyến ở mức độ 2 và có cung cấp dịch vụ công trực tuyến mức độ 3, 4</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1035"/>
        </w:trPr>
        <w:tc>
          <w:tcPr>
            <w:tcW w:w="5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12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8.2. Có hoạt động cung cấp thông tin khoa học công nghệ thông qua Trang thông tin điện tử của địa phương đạt hiệu quả</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10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D02FCD" w:rsidRPr="00D02FCD" w:rsidRDefault="00D02FCD" w:rsidP="00D02FCD">
            <w:pPr>
              <w:jc w:val="center"/>
              <w:rPr>
                <w:b/>
                <w:bCs/>
                <w:color w:val="000000"/>
              </w:rPr>
            </w:pPr>
            <w:r w:rsidRPr="00D02FCD">
              <w:rPr>
                <w:b/>
                <w:bCs/>
                <w:color w:val="000000"/>
              </w:rPr>
              <w:t>9</w:t>
            </w:r>
          </w:p>
        </w:tc>
        <w:tc>
          <w:tcPr>
            <w:tcW w:w="123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b/>
                <w:bCs/>
                <w:color w:val="000000"/>
              </w:rPr>
            </w:pPr>
            <w:r w:rsidRPr="00D02FCD">
              <w:rPr>
                <w:b/>
                <w:bCs/>
                <w:color w:val="000000"/>
              </w:rPr>
              <w:t>Nhà ở dân cư</w:t>
            </w: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Tỷ lệ hộ có nhà ở đạt chuẩn Bộ Xây dựng</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 99%</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100%</w:t>
            </w:r>
            <w:r w:rsidRPr="00D02FCD">
              <w:rPr>
                <w:color w:val="000000"/>
              </w:rPr>
              <w:br/>
              <w:t>(3.167/3.167 căn)</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1215"/>
        </w:trPr>
        <w:tc>
          <w:tcPr>
            <w:tcW w:w="539" w:type="dxa"/>
            <w:vMerge w:val="restart"/>
            <w:tcBorders>
              <w:top w:val="nil"/>
              <w:left w:val="single" w:sz="4" w:space="0" w:color="auto"/>
              <w:bottom w:val="single" w:sz="4" w:space="0" w:color="auto"/>
              <w:right w:val="single" w:sz="4" w:space="0" w:color="auto"/>
            </w:tcBorders>
            <w:shd w:val="clear" w:color="auto" w:fill="auto"/>
            <w:vAlign w:val="center"/>
            <w:hideMark/>
          </w:tcPr>
          <w:p w:rsidR="00D02FCD" w:rsidRPr="00D02FCD" w:rsidRDefault="00D02FCD" w:rsidP="00D02FCD">
            <w:pPr>
              <w:jc w:val="center"/>
              <w:rPr>
                <w:b/>
                <w:bCs/>
                <w:color w:val="000000"/>
              </w:rPr>
            </w:pPr>
            <w:r w:rsidRPr="00D02FCD">
              <w:rPr>
                <w:b/>
                <w:bCs/>
                <w:color w:val="000000"/>
              </w:rPr>
              <w:t>10</w:t>
            </w:r>
          </w:p>
        </w:tc>
        <w:tc>
          <w:tcPr>
            <w:tcW w:w="1239" w:type="dxa"/>
            <w:vMerge w:val="restart"/>
            <w:tcBorders>
              <w:top w:val="nil"/>
              <w:left w:val="single" w:sz="4" w:space="0" w:color="auto"/>
              <w:bottom w:val="single" w:sz="4" w:space="0" w:color="auto"/>
              <w:right w:val="single" w:sz="4" w:space="0" w:color="auto"/>
            </w:tcBorders>
            <w:shd w:val="clear" w:color="auto" w:fill="auto"/>
            <w:vAlign w:val="center"/>
            <w:hideMark/>
          </w:tcPr>
          <w:p w:rsidR="00D02FCD" w:rsidRPr="00D02FCD" w:rsidRDefault="00D02FCD" w:rsidP="00D02FCD">
            <w:pPr>
              <w:jc w:val="center"/>
              <w:rPr>
                <w:b/>
                <w:bCs/>
                <w:color w:val="000000"/>
              </w:rPr>
            </w:pPr>
            <w:r w:rsidRPr="00D02FCD">
              <w:rPr>
                <w:b/>
                <w:bCs/>
                <w:color w:val="000000"/>
              </w:rPr>
              <w:t>Thu nhập và Phát triển sản xuất</w:t>
            </w: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10.1. Thu nhập bình quân đầu người/năm</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Năm 2020: ≥ 66 triệu;</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68,46 triệu</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1260"/>
        </w:trPr>
        <w:tc>
          <w:tcPr>
            <w:tcW w:w="5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12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10.2. Giá trị sản phẩm thu hoạch bình quân trên 01 ha trồng trọt và nuôi trồng thủy sản (theo giá thực tế)</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Năm 2020: ≥ 170 triệu;</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171,5 triệu</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1095"/>
        </w:trPr>
        <w:tc>
          <w:tcPr>
            <w:tcW w:w="5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12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10.3. Tỷ lệ cơ giới hóa bình quân các khâu trong sản xuất nông nghiệp đối với các sản phẩm nông nghiệp chủ lực của địa phương</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&gt; 80%</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81,27%</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1110"/>
        </w:trPr>
        <w:tc>
          <w:tcPr>
            <w:tcW w:w="5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12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10.4. Xã có mô hình ứng dụng công nghệ cao trong sản xuất và chế biến sản phẩm an toàn, sạch hoặc mô hình sản xuất theo hướng hữu cơ</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1485"/>
        </w:trPr>
        <w:tc>
          <w:tcPr>
            <w:tcW w:w="539" w:type="dxa"/>
            <w:vMerge w:val="restart"/>
            <w:tcBorders>
              <w:top w:val="nil"/>
              <w:left w:val="single" w:sz="4" w:space="0" w:color="auto"/>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lastRenderedPageBreak/>
              <w:t> </w:t>
            </w:r>
          </w:p>
        </w:tc>
        <w:tc>
          <w:tcPr>
            <w:tcW w:w="1239" w:type="dxa"/>
            <w:vMerge w:val="restart"/>
            <w:tcBorders>
              <w:top w:val="nil"/>
              <w:left w:val="single" w:sz="4" w:space="0" w:color="auto"/>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 </w:t>
            </w: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10.5. Thực hiện hiệu quả quy hoạch, kế hoạch phát triển sản xuất hàng hóa chủ lực của xã gắn với cơ cấu lại sản xuất nông nghiệp, chuyển dịch cơ cấu kinh tế nông thôn được cấp có thẩm quyền phê duyệt</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570"/>
        </w:trPr>
        <w:tc>
          <w:tcPr>
            <w:tcW w:w="5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color w:val="000000"/>
              </w:rPr>
            </w:pPr>
          </w:p>
        </w:tc>
        <w:tc>
          <w:tcPr>
            <w:tcW w:w="12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color w:val="000000"/>
              </w:rPr>
            </w:pP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10.6. Xã có ít nhất một nhãn hiệu được chứng nhận</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84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D02FCD" w:rsidRPr="00D02FCD" w:rsidRDefault="00D02FCD" w:rsidP="00D02FCD">
            <w:pPr>
              <w:jc w:val="center"/>
              <w:rPr>
                <w:b/>
                <w:bCs/>
                <w:color w:val="000000"/>
              </w:rPr>
            </w:pPr>
            <w:r w:rsidRPr="00D02FCD">
              <w:rPr>
                <w:b/>
                <w:bCs/>
                <w:color w:val="000000"/>
              </w:rPr>
              <w:t>11</w:t>
            </w:r>
          </w:p>
        </w:tc>
        <w:tc>
          <w:tcPr>
            <w:tcW w:w="123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b/>
                <w:bCs/>
                <w:color w:val="000000"/>
              </w:rPr>
            </w:pPr>
            <w:r w:rsidRPr="00D02FCD">
              <w:rPr>
                <w:b/>
                <w:bCs/>
                <w:color w:val="000000"/>
              </w:rPr>
              <w:t>Hộ nghèo</w:t>
            </w: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Tỷ lệ hộ nghèo đa chiều giai đoạn 2016 - 2020 theo chuẩn của tỉnh</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&lt; 1%</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0,65%</w:t>
            </w:r>
            <w:r w:rsidRPr="00D02FCD">
              <w:rPr>
                <w:color w:val="000000"/>
              </w:rPr>
              <w:br/>
              <w:t>(19/3.086 hộ)</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945"/>
        </w:trPr>
        <w:tc>
          <w:tcPr>
            <w:tcW w:w="539" w:type="dxa"/>
            <w:vMerge w:val="restart"/>
            <w:tcBorders>
              <w:top w:val="nil"/>
              <w:left w:val="single" w:sz="4" w:space="0" w:color="auto"/>
              <w:bottom w:val="single" w:sz="4" w:space="0" w:color="auto"/>
              <w:right w:val="single" w:sz="4" w:space="0" w:color="auto"/>
            </w:tcBorders>
            <w:shd w:val="clear" w:color="auto" w:fill="auto"/>
            <w:vAlign w:val="center"/>
            <w:hideMark/>
          </w:tcPr>
          <w:p w:rsidR="00D02FCD" w:rsidRPr="00D02FCD" w:rsidRDefault="00D02FCD" w:rsidP="00D02FCD">
            <w:pPr>
              <w:jc w:val="center"/>
              <w:rPr>
                <w:b/>
                <w:bCs/>
                <w:color w:val="000000"/>
              </w:rPr>
            </w:pPr>
            <w:r w:rsidRPr="00D02FCD">
              <w:rPr>
                <w:b/>
                <w:bCs/>
                <w:color w:val="000000"/>
              </w:rPr>
              <w:t>12</w:t>
            </w:r>
          </w:p>
        </w:tc>
        <w:tc>
          <w:tcPr>
            <w:tcW w:w="1239" w:type="dxa"/>
            <w:vMerge w:val="restart"/>
            <w:tcBorders>
              <w:top w:val="nil"/>
              <w:left w:val="single" w:sz="4" w:space="0" w:color="auto"/>
              <w:bottom w:val="single" w:sz="4" w:space="0" w:color="auto"/>
              <w:right w:val="single" w:sz="4" w:space="0" w:color="auto"/>
            </w:tcBorders>
            <w:shd w:val="clear" w:color="auto" w:fill="auto"/>
            <w:vAlign w:val="center"/>
            <w:hideMark/>
          </w:tcPr>
          <w:p w:rsidR="00D02FCD" w:rsidRPr="00D02FCD" w:rsidRDefault="00D02FCD" w:rsidP="00D02FCD">
            <w:pPr>
              <w:jc w:val="center"/>
              <w:rPr>
                <w:b/>
                <w:bCs/>
                <w:color w:val="000000"/>
              </w:rPr>
            </w:pPr>
            <w:r w:rsidRPr="00D02FCD">
              <w:rPr>
                <w:b/>
                <w:bCs/>
                <w:color w:val="000000"/>
              </w:rPr>
              <w:t>Tỷ lệ lao động có việc làm thường xuyên</w:t>
            </w: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12.1. Tỷ lệ người có việc làm thường xuyên trên dân số trong độ tuổi lao động có khả năng tham gia lao động</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 95%</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95,7%</w:t>
            </w:r>
            <w:r w:rsidRPr="00D02FCD">
              <w:rPr>
                <w:color w:val="000000"/>
              </w:rPr>
              <w:br/>
              <w:t>(6.763/7.066 người)</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1155"/>
        </w:trPr>
        <w:tc>
          <w:tcPr>
            <w:tcW w:w="5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12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12.2. Tỷ lệ lao động có việc làm trên địa bàn xã được đào tạo trên tổng số lao động có việc làm thường xuyên trên địa bàn xã</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 65%</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65%</w:t>
            </w:r>
            <w:r w:rsidRPr="00D02FCD">
              <w:rPr>
                <w:color w:val="000000"/>
              </w:rPr>
              <w:br/>
              <w:t>(4.396/6.763 người)</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630"/>
        </w:trPr>
        <w:tc>
          <w:tcPr>
            <w:tcW w:w="539" w:type="dxa"/>
            <w:vMerge w:val="restart"/>
            <w:tcBorders>
              <w:top w:val="nil"/>
              <w:left w:val="single" w:sz="4" w:space="0" w:color="auto"/>
              <w:bottom w:val="single" w:sz="4" w:space="0" w:color="auto"/>
              <w:right w:val="single" w:sz="4" w:space="0" w:color="auto"/>
            </w:tcBorders>
            <w:shd w:val="clear" w:color="auto" w:fill="auto"/>
            <w:vAlign w:val="center"/>
            <w:hideMark/>
          </w:tcPr>
          <w:p w:rsidR="00D02FCD" w:rsidRPr="00D02FCD" w:rsidRDefault="00D02FCD" w:rsidP="00D02FCD">
            <w:pPr>
              <w:jc w:val="center"/>
              <w:rPr>
                <w:b/>
                <w:bCs/>
                <w:color w:val="000000"/>
              </w:rPr>
            </w:pPr>
            <w:r w:rsidRPr="00D02FCD">
              <w:rPr>
                <w:b/>
                <w:bCs/>
                <w:color w:val="000000"/>
              </w:rPr>
              <w:t>13</w:t>
            </w:r>
          </w:p>
        </w:tc>
        <w:tc>
          <w:tcPr>
            <w:tcW w:w="1239" w:type="dxa"/>
            <w:vMerge w:val="restart"/>
            <w:tcBorders>
              <w:top w:val="nil"/>
              <w:left w:val="single" w:sz="4" w:space="0" w:color="auto"/>
              <w:bottom w:val="single" w:sz="4" w:space="0" w:color="auto"/>
              <w:right w:val="single" w:sz="4" w:space="0" w:color="auto"/>
            </w:tcBorders>
            <w:shd w:val="clear" w:color="auto" w:fill="auto"/>
            <w:vAlign w:val="center"/>
            <w:hideMark/>
          </w:tcPr>
          <w:p w:rsidR="00D02FCD" w:rsidRPr="00D02FCD" w:rsidRDefault="00D02FCD" w:rsidP="00D02FCD">
            <w:pPr>
              <w:jc w:val="center"/>
              <w:rPr>
                <w:b/>
                <w:bCs/>
                <w:color w:val="000000"/>
              </w:rPr>
            </w:pPr>
            <w:r w:rsidRPr="00D02FCD">
              <w:rPr>
                <w:b/>
                <w:bCs/>
                <w:color w:val="000000"/>
              </w:rPr>
              <w:t>Hình thức tổ chức sản xuất</w:t>
            </w: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13.1. Tỷ lệ Hợp tác xã hoạt động có hiệu quả</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 80%</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100%</w:t>
            </w:r>
            <w:r w:rsidRPr="00D02FCD">
              <w:rPr>
                <w:color w:val="000000"/>
              </w:rPr>
              <w:br/>
              <w:t>(2/2 HTX)</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840"/>
        </w:trPr>
        <w:tc>
          <w:tcPr>
            <w:tcW w:w="5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12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13.2. Tỷ lệ hộ sản xuất, kinh doanh tham gia HTX, THT, CLB</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 50%</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50,38%</w:t>
            </w:r>
            <w:r w:rsidRPr="00D02FCD">
              <w:rPr>
                <w:color w:val="000000"/>
              </w:rPr>
              <w:br/>
              <w:t>(134/266 hộ)</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1365"/>
        </w:trPr>
        <w:tc>
          <w:tcPr>
            <w:tcW w:w="5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12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13.3. Thực hiện liên kết sản xuất theo chuỗi giá trị hàng hóa đối với sản phẩm chủ lực của xã đảm bảo chất lượng, an toàn thực phẩm gắn với định hướng phát triển dịch vụ, du lịch… của địa phương</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1035"/>
        </w:trPr>
        <w:tc>
          <w:tcPr>
            <w:tcW w:w="539" w:type="dxa"/>
            <w:vMerge w:val="restart"/>
            <w:tcBorders>
              <w:top w:val="nil"/>
              <w:left w:val="single" w:sz="4" w:space="0" w:color="auto"/>
              <w:bottom w:val="single" w:sz="4" w:space="0" w:color="auto"/>
              <w:right w:val="single" w:sz="4" w:space="0" w:color="auto"/>
            </w:tcBorders>
            <w:shd w:val="clear" w:color="auto" w:fill="auto"/>
            <w:vAlign w:val="center"/>
            <w:hideMark/>
          </w:tcPr>
          <w:p w:rsidR="00D02FCD" w:rsidRPr="00D02FCD" w:rsidRDefault="00D02FCD" w:rsidP="00D02FCD">
            <w:pPr>
              <w:jc w:val="center"/>
              <w:rPr>
                <w:b/>
                <w:bCs/>
                <w:color w:val="000000"/>
              </w:rPr>
            </w:pPr>
            <w:r w:rsidRPr="00D02FCD">
              <w:rPr>
                <w:b/>
                <w:bCs/>
                <w:color w:val="000000"/>
              </w:rPr>
              <w:t>14</w:t>
            </w:r>
          </w:p>
        </w:tc>
        <w:tc>
          <w:tcPr>
            <w:tcW w:w="1239" w:type="dxa"/>
            <w:vMerge w:val="restart"/>
            <w:tcBorders>
              <w:top w:val="nil"/>
              <w:left w:val="single" w:sz="4" w:space="0" w:color="auto"/>
              <w:bottom w:val="single" w:sz="4" w:space="0" w:color="auto"/>
              <w:right w:val="single" w:sz="4" w:space="0" w:color="auto"/>
            </w:tcBorders>
            <w:shd w:val="clear" w:color="auto" w:fill="auto"/>
            <w:vAlign w:val="center"/>
            <w:hideMark/>
          </w:tcPr>
          <w:p w:rsidR="00D02FCD" w:rsidRPr="00D02FCD" w:rsidRDefault="00D02FCD" w:rsidP="00D02FCD">
            <w:pPr>
              <w:jc w:val="center"/>
              <w:rPr>
                <w:b/>
                <w:bCs/>
                <w:color w:val="000000"/>
              </w:rPr>
            </w:pPr>
            <w:r w:rsidRPr="00D02FCD">
              <w:rPr>
                <w:b/>
                <w:bCs/>
                <w:color w:val="000000"/>
              </w:rPr>
              <w:t>Giáo dục</w:t>
            </w: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14.1. Tỷ lệ trẻ vào mẫu giáo</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100%</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100%</w:t>
            </w:r>
            <w:r w:rsidRPr="00D02FCD">
              <w:rPr>
                <w:color w:val="000000"/>
              </w:rPr>
              <w:br/>
              <w:t>(921/921 trẻ)</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960"/>
        </w:trPr>
        <w:tc>
          <w:tcPr>
            <w:tcW w:w="5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12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14.2. Tỷ lệ huy động trẻ (từ 12 đến 36 tháng tuổi) vào nhà trẻ</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 50%</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55,26%</w:t>
            </w:r>
            <w:r w:rsidRPr="00D02FCD">
              <w:rPr>
                <w:color w:val="000000"/>
              </w:rPr>
              <w:br/>
              <w:t>(147/266 em)</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630"/>
        </w:trPr>
        <w:tc>
          <w:tcPr>
            <w:tcW w:w="5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12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14.3. Xóa mù chữ mức độ 2, phổ cập giáo dục tiểu học và trung học cơ sở mức độ 3</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945"/>
        </w:trPr>
        <w:tc>
          <w:tcPr>
            <w:tcW w:w="539" w:type="dxa"/>
            <w:vMerge w:val="restart"/>
            <w:tcBorders>
              <w:top w:val="nil"/>
              <w:left w:val="single" w:sz="4" w:space="0" w:color="auto"/>
              <w:bottom w:val="single" w:sz="4" w:space="0" w:color="auto"/>
              <w:right w:val="single" w:sz="4" w:space="0" w:color="auto"/>
            </w:tcBorders>
            <w:shd w:val="clear" w:color="auto" w:fill="auto"/>
            <w:vAlign w:val="center"/>
            <w:hideMark/>
          </w:tcPr>
          <w:p w:rsidR="00D02FCD" w:rsidRPr="00D02FCD" w:rsidRDefault="00D02FCD" w:rsidP="00D02FCD">
            <w:pPr>
              <w:jc w:val="center"/>
              <w:rPr>
                <w:b/>
                <w:bCs/>
                <w:color w:val="000000"/>
              </w:rPr>
            </w:pPr>
            <w:r w:rsidRPr="00D02FCD">
              <w:rPr>
                <w:b/>
                <w:bCs/>
                <w:color w:val="000000"/>
              </w:rPr>
              <w:t>15</w:t>
            </w:r>
          </w:p>
        </w:tc>
        <w:tc>
          <w:tcPr>
            <w:tcW w:w="1239" w:type="dxa"/>
            <w:vMerge w:val="restart"/>
            <w:tcBorders>
              <w:top w:val="nil"/>
              <w:left w:val="single" w:sz="4" w:space="0" w:color="auto"/>
              <w:bottom w:val="single" w:sz="4" w:space="0" w:color="auto"/>
              <w:right w:val="single" w:sz="4" w:space="0" w:color="auto"/>
            </w:tcBorders>
            <w:shd w:val="clear" w:color="auto" w:fill="auto"/>
            <w:vAlign w:val="center"/>
            <w:hideMark/>
          </w:tcPr>
          <w:p w:rsidR="00D02FCD" w:rsidRPr="00D02FCD" w:rsidRDefault="00D02FCD" w:rsidP="00D02FCD">
            <w:pPr>
              <w:jc w:val="center"/>
              <w:rPr>
                <w:b/>
                <w:bCs/>
                <w:color w:val="000000"/>
              </w:rPr>
            </w:pPr>
            <w:r w:rsidRPr="00D02FCD">
              <w:rPr>
                <w:b/>
                <w:bCs/>
                <w:color w:val="000000"/>
              </w:rPr>
              <w:t>Y tế</w:t>
            </w: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15.1. Tỷ lệ người dân tham gia Bảo hiểm y tế</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 90%</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92,4%</w:t>
            </w:r>
            <w:r w:rsidRPr="00D02FCD">
              <w:rPr>
                <w:color w:val="000000"/>
              </w:rPr>
              <w:br/>
              <w:t>(12.106/13.099 người)</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480"/>
        </w:trPr>
        <w:tc>
          <w:tcPr>
            <w:tcW w:w="5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12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15.2. Tỷ lệ phát triển dân số tự nhiên khu vực nông thôn</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&lt; 1%</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0,77%</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840"/>
        </w:trPr>
        <w:tc>
          <w:tcPr>
            <w:tcW w:w="5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12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15.3. Tỷ lệ trẻ em dưới 05 tuổi bị suy dinh dưỡng thể thấp còi (chiều cao theo tuổi)</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&lt; 12%</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9,24%</w:t>
            </w:r>
            <w:r w:rsidRPr="00D02FCD">
              <w:rPr>
                <w:color w:val="000000"/>
              </w:rPr>
              <w:br/>
              <w:t>(107/1.158 trẻ)</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585"/>
        </w:trPr>
        <w:tc>
          <w:tcPr>
            <w:tcW w:w="539" w:type="dxa"/>
            <w:vMerge w:val="restart"/>
            <w:tcBorders>
              <w:top w:val="nil"/>
              <w:left w:val="single" w:sz="4" w:space="0" w:color="auto"/>
              <w:bottom w:val="single" w:sz="4" w:space="0" w:color="auto"/>
              <w:right w:val="single" w:sz="4" w:space="0" w:color="auto"/>
            </w:tcBorders>
            <w:shd w:val="clear" w:color="auto" w:fill="auto"/>
            <w:vAlign w:val="center"/>
            <w:hideMark/>
          </w:tcPr>
          <w:p w:rsidR="00D02FCD" w:rsidRPr="00D02FCD" w:rsidRDefault="00D02FCD" w:rsidP="00D02FCD">
            <w:pPr>
              <w:jc w:val="center"/>
              <w:rPr>
                <w:b/>
                <w:bCs/>
                <w:color w:val="000000"/>
              </w:rPr>
            </w:pPr>
            <w:r w:rsidRPr="00D02FCD">
              <w:rPr>
                <w:b/>
                <w:bCs/>
                <w:color w:val="000000"/>
              </w:rPr>
              <w:t>16</w:t>
            </w:r>
          </w:p>
        </w:tc>
        <w:tc>
          <w:tcPr>
            <w:tcW w:w="1239" w:type="dxa"/>
            <w:vMerge w:val="restart"/>
            <w:tcBorders>
              <w:top w:val="nil"/>
              <w:left w:val="single" w:sz="4" w:space="0" w:color="auto"/>
              <w:bottom w:val="single" w:sz="4" w:space="0" w:color="auto"/>
              <w:right w:val="single" w:sz="4" w:space="0" w:color="auto"/>
            </w:tcBorders>
            <w:shd w:val="clear" w:color="auto" w:fill="auto"/>
            <w:vAlign w:val="center"/>
            <w:hideMark/>
          </w:tcPr>
          <w:p w:rsidR="00D02FCD" w:rsidRPr="00D02FCD" w:rsidRDefault="00D02FCD" w:rsidP="00D02FCD">
            <w:pPr>
              <w:jc w:val="center"/>
              <w:rPr>
                <w:b/>
                <w:bCs/>
                <w:color w:val="000000"/>
              </w:rPr>
            </w:pPr>
            <w:r w:rsidRPr="00D02FCD">
              <w:rPr>
                <w:b/>
                <w:bCs/>
                <w:color w:val="000000"/>
              </w:rPr>
              <w:t>Văn hóa</w:t>
            </w: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16.1. Xã đạt chuẩn văn hóa nông thôn mới theo quy định</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885"/>
        </w:trPr>
        <w:tc>
          <w:tcPr>
            <w:tcW w:w="5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12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16.2. Tỷ lệ ấp đạt tiêu chuẩn ấp văn hóa theo quy định của Bộ VH - TT - DL</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100%</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100%</w:t>
            </w:r>
            <w:r w:rsidRPr="00D02FCD">
              <w:rPr>
                <w:color w:val="000000"/>
              </w:rPr>
              <w:br/>
              <w:t>(05/05 ấp)</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810"/>
        </w:trPr>
        <w:tc>
          <w:tcPr>
            <w:tcW w:w="5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12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16.3. Tỷ lệ hộ gia đình đạt tiêu chuẩn văn hóa</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 99%</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99,14%</w:t>
            </w:r>
            <w:r w:rsidRPr="00D02FCD">
              <w:rPr>
                <w:color w:val="000000"/>
              </w:rPr>
              <w:br/>
              <w:t>(2.884/2.909 hộ)</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945"/>
        </w:trPr>
        <w:tc>
          <w:tcPr>
            <w:tcW w:w="5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12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16.4. Không có cơ sở sản xuất kinh doanh, dịch vụ văn hóa trên địa bàn xã vi phạm quy định pháp luật mà không được xử lý và khắc phục kịp thời</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630"/>
        </w:trPr>
        <w:tc>
          <w:tcPr>
            <w:tcW w:w="5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12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16.5. Tỷ lệ ấp xây dựng và thực hiện hiệu quả hương ước, quy ước của cộng đồng</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100%</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 100%</w:t>
            </w:r>
            <w:r w:rsidRPr="00D02FCD">
              <w:rPr>
                <w:color w:val="000000"/>
              </w:rPr>
              <w:br/>
              <w:t>(05/05 ấp)</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1020"/>
        </w:trPr>
        <w:tc>
          <w:tcPr>
            <w:tcW w:w="539" w:type="dxa"/>
            <w:vMerge w:val="restart"/>
            <w:tcBorders>
              <w:top w:val="nil"/>
              <w:left w:val="single" w:sz="4" w:space="0" w:color="auto"/>
              <w:bottom w:val="single" w:sz="4" w:space="0" w:color="auto"/>
              <w:right w:val="single" w:sz="4" w:space="0" w:color="auto"/>
            </w:tcBorders>
            <w:shd w:val="clear" w:color="auto" w:fill="auto"/>
            <w:vAlign w:val="center"/>
            <w:hideMark/>
          </w:tcPr>
          <w:p w:rsidR="00D02FCD" w:rsidRPr="00D02FCD" w:rsidRDefault="00D02FCD" w:rsidP="00D02FCD">
            <w:pPr>
              <w:jc w:val="center"/>
              <w:rPr>
                <w:b/>
                <w:bCs/>
                <w:color w:val="000000"/>
              </w:rPr>
            </w:pPr>
            <w:r w:rsidRPr="00D02FCD">
              <w:rPr>
                <w:b/>
                <w:bCs/>
                <w:color w:val="000000"/>
              </w:rPr>
              <w:t>17</w:t>
            </w:r>
          </w:p>
        </w:tc>
        <w:tc>
          <w:tcPr>
            <w:tcW w:w="1239" w:type="dxa"/>
            <w:vMerge w:val="restart"/>
            <w:tcBorders>
              <w:top w:val="nil"/>
              <w:left w:val="single" w:sz="4" w:space="0" w:color="auto"/>
              <w:bottom w:val="single" w:sz="4" w:space="0" w:color="auto"/>
              <w:right w:val="single" w:sz="4" w:space="0" w:color="auto"/>
            </w:tcBorders>
            <w:shd w:val="clear" w:color="auto" w:fill="auto"/>
            <w:vAlign w:val="center"/>
            <w:hideMark/>
          </w:tcPr>
          <w:p w:rsidR="00D02FCD" w:rsidRPr="00D02FCD" w:rsidRDefault="00D02FCD" w:rsidP="00D02FCD">
            <w:pPr>
              <w:jc w:val="center"/>
              <w:rPr>
                <w:b/>
                <w:bCs/>
                <w:color w:val="000000"/>
              </w:rPr>
            </w:pPr>
            <w:r w:rsidRPr="00D02FCD">
              <w:rPr>
                <w:b/>
                <w:bCs/>
                <w:color w:val="000000"/>
              </w:rPr>
              <w:t>Môi trường</w:t>
            </w:r>
          </w:p>
        </w:tc>
        <w:tc>
          <w:tcPr>
            <w:tcW w:w="4072" w:type="dxa"/>
            <w:vMerge w:val="restart"/>
            <w:tcBorders>
              <w:top w:val="nil"/>
              <w:left w:val="single" w:sz="4" w:space="0" w:color="auto"/>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17.1. Tỷ lệ hộ dân sử dụng nước sạch theo quy định</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Năm 2019: ≥ 80%;</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 </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 </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 </w:t>
            </w:r>
          </w:p>
        </w:tc>
      </w:tr>
      <w:tr w:rsidR="00D02FCD" w:rsidRPr="00D02FCD" w:rsidTr="002378EA">
        <w:trPr>
          <w:trHeight w:val="1095"/>
        </w:trPr>
        <w:tc>
          <w:tcPr>
            <w:tcW w:w="5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12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4072"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color w:val="000000"/>
              </w:rPr>
            </w:pP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Năm 2020: ≥ 85%</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95,07%</w:t>
            </w:r>
            <w:r w:rsidRPr="00D02FCD">
              <w:rPr>
                <w:color w:val="000000"/>
              </w:rPr>
              <w:br/>
              <w:t>(3.011/3.167 hộ)</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630"/>
        </w:trPr>
        <w:tc>
          <w:tcPr>
            <w:tcW w:w="5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12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17.2. Chất thải rắn và nước thải khu dân cư tập trung được thu gom, xử lý theo quy định</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630"/>
        </w:trPr>
        <w:tc>
          <w:tcPr>
            <w:tcW w:w="5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12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17.3. Tỷ lệ chuồng trại chăn nuôi đảm bảo vệ sinh môi trường</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 97%</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100%</w:t>
            </w:r>
            <w:r w:rsidRPr="00D02FCD">
              <w:rPr>
                <w:color w:val="000000"/>
              </w:rPr>
              <w:br/>
              <w:t>(23/23 hộ)</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525"/>
        </w:trPr>
        <w:tc>
          <w:tcPr>
            <w:tcW w:w="5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12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17.4. Xã có tổ chức tự quản về môi trường</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1035"/>
        </w:trPr>
        <w:tc>
          <w:tcPr>
            <w:tcW w:w="5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12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17.5. Tỷ lệ hộ có nhà tiêu hợp vệ sinh đạt chuẩn, đảm bảo vệ sinh an toàn đối với khu vực sinh hoạt của con người</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100%</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100%</w:t>
            </w:r>
            <w:r w:rsidRPr="00D02FCD">
              <w:rPr>
                <w:color w:val="000000"/>
              </w:rPr>
              <w:br/>
              <w:t>(3.167/3.167 hộ)</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840"/>
        </w:trPr>
        <w:tc>
          <w:tcPr>
            <w:tcW w:w="5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12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17.6. Tỷ lệ hộ có cảnh quan nơi ở “Xanh - sạch - đẹp”</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 90%</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91,82%</w:t>
            </w:r>
            <w:r w:rsidRPr="00D02FCD">
              <w:rPr>
                <w:color w:val="000000"/>
              </w:rPr>
              <w:br/>
              <w:t>(2.908/3.167 hộ)</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630"/>
        </w:trPr>
        <w:tc>
          <w:tcPr>
            <w:tcW w:w="539" w:type="dxa"/>
            <w:vMerge w:val="restart"/>
            <w:tcBorders>
              <w:top w:val="nil"/>
              <w:left w:val="single" w:sz="4" w:space="0" w:color="auto"/>
              <w:bottom w:val="single" w:sz="4" w:space="0" w:color="auto"/>
              <w:right w:val="single" w:sz="4" w:space="0" w:color="auto"/>
            </w:tcBorders>
            <w:shd w:val="clear" w:color="auto" w:fill="auto"/>
            <w:vAlign w:val="center"/>
            <w:hideMark/>
          </w:tcPr>
          <w:p w:rsidR="00D02FCD" w:rsidRPr="00D02FCD" w:rsidRDefault="00D02FCD" w:rsidP="00D02FCD">
            <w:pPr>
              <w:jc w:val="center"/>
              <w:rPr>
                <w:b/>
                <w:bCs/>
                <w:color w:val="000000"/>
              </w:rPr>
            </w:pPr>
            <w:r w:rsidRPr="00D02FCD">
              <w:rPr>
                <w:b/>
                <w:bCs/>
                <w:color w:val="000000"/>
              </w:rPr>
              <w:t>18</w:t>
            </w:r>
          </w:p>
        </w:tc>
        <w:tc>
          <w:tcPr>
            <w:tcW w:w="1239" w:type="dxa"/>
            <w:vMerge w:val="restart"/>
            <w:tcBorders>
              <w:top w:val="nil"/>
              <w:left w:val="single" w:sz="4" w:space="0" w:color="auto"/>
              <w:bottom w:val="single" w:sz="4" w:space="0" w:color="auto"/>
              <w:right w:val="single" w:sz="4" w:space="0" w:color="auto"/>
            </w:tcBorders>
            <w:shd w:val="clear" w:color="auto" w:fill="auto"/>
            <w:vAlign w:val="center"/>
            <w:hideMark/>
          </w:tcPr>
          <w:p w:rsidR="00D02FCD" w:rsidRPr="00D02FCD" w:rsidRDefault="00D02FCD" w:rsidP="00D02FCD">
            <w:pPr>
              <w:jc w:val="center"/>
              <w:rPr>
                <w:b/>
                <w:bCs/>
                <w:color w:val="000000"/>
              </w:rPr>
            </w:pPr>
            <w:r w:rsidRPr="00D02FCD">
              <w:rPr>
                <w:b/>
                <w:bCs/>
                <w:color w:val="000000"/>
              </w:rPr>
              <w:t>Hệ thống tổ chức chính trị</w:t>
            </w: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18.1. Cán bộ, công chức xã đạt chuẩn theo quy định của tỉnh</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630"/>
        </w:trPr>
        <w:tc>
          <w:tcPr>
            <w:tcW w:w="5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12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18.2. Xã có bố trí công chức thực hiện nhiệm vụ chuyên trách về xây dựng nông thôn mới</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630"/>
        </w:trPr>
        <w:tc>
          <w:tcPr>
            <w:tcW w:w="5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12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18.3. Các tổ chức đoàn thể chính trị của xã đạt danh hiệu vững mạnh</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780"/>
        </w:trPr>
        <w:tc>
          <w:tcPr>
            <w:tcW w:w="5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12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18.4. Tỷ lệ người dân, tổ chức hài lòng trong giải quyết thủ tục hành chính của UBND xã</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 90%</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pPr>
            <w:r w:rsidRPr="00D02FCD">
              <w:t>Đạt</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1560"/>
        </w:trPr>
        <w:tc>
          <w:tcPr>
            <w:tcW w:w="539" w:type="dxa"/>
            <w:vMerge w:val="restart"/>
            <w:tcBorders>
              <w:top w:val="nil"/>
              <w:left w:val="single" w:sz="4" w:space="0" w:color="auto"/>
              <w:bottom w:val="single" w:sz="4" w:space="0" w:color="auto"/>
              <w:right w:val="single" w:sz="4" w:space="0" w:color="auto"/>
            </w:tcBorders>
            <w:shd w:val="clear" w:color="auto" w:fill="auto"/>
            <w:vAlign w:val="center"/>
            <w:hideMark/>
          </w:tcPr>
          <w:p w:rsidR="00D02FCD" w:rsidRPr="00D02FCD" w:rsidRDefault="00D02FCD" w:rsidP="00D02FCD">
            <w:pPr>
              <w:jc w:val="center"/>
              <w:rPr>
                <w:b/>
                <w:bCs/>
                <w:color w:val="000000"/>
              </w:rPr>
            </w:pPr>
            <w:r w:rsidRPr="00D02FCD">
              <w:rPr>
                <w:b/>
                <w:bCs/>
                <w:color w:val="000000"/>
              </w:rPr>
              <w:t>19</w:t>
            </w:r>
          </w:p>
        </w:tc>
        <w:tc>
          <w:tcPr>
            <w:tcW w:w="1239" w:type="dxa"/>
            <w:vMerge w:val="restart"/>
            <w:tcBorders>
              <w:top w:val="nil"/>
              <w:left w:val="single" w:sz="4" w:space="0" w:color="auto"/>
              <w:bottom w:val="single" w:sz="4" w:space="0" w:color="auto"/>
              <w:right w:val="single" w:sz="4" w:space="0" w:color="auto"/>
            </w:tcBorders>
            <w:shd w:val="clear" w:color="auto" w:fill="auto"/>
            <w:vAlign w:val="center"/>
            <w:hideMark/>
          </w:tcPr>
          <w:p w:rsidR="00D02FCD" w:rsidRPr="00D02FCD" w:rsidRDefault="00D02FCD" w:rsidP="00D02FCD">
            <w:pPr>
              <w:jc w:val="center"/>
              <w:rPr>
                <w:b/>
                <w:bCs/>
                <w:color w:val="000000"/>
              </w:rPr>
            </w:pPr>
            <w:r w:rsidRPr="00D02FCD">
              <w:rPr>
                <w:b/>
                <w:bCs/>
                <w:color w:val="000000"/>
              </w:rPr>
              <w:t>An ninh - Quốc phòng</w:t>
            </w: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19.1. An ninh trật tự xã hội được giữ vững; xây dựng và thực hiện tốt phong trào toàn dân bảo vệ an ninh tổ quốc, có mô hình phòng chống tội phạm hoạt động thường xuyên, hiệu quả đảm bảo an ninh trật tự</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r w:rsidR="00D02FCD" w:rsidRPr="00D02FCD" w:rsidTr="002378EA">
        <w:trPr>
          <w:trHeight w:val="1290"/>
        </w:trPr>
        <w:tc>
          <w:tcPr>
            <w:tcW w:w="5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1239" w:type="dxa"/>
            <w:vMerge/>
            <w:tcBorders>
              <w:top w:val="nil"/>
              <w:left w:val="single" w:sz="4" w:space="0" w:color="auto"/>
              <w:bottom w:val="single" w:sz="4" w:space="0" w:color="auto"/>
              <w:right w:val="single" w:sz="4" w:space="0" w:color="auto"/>
            </w:tcBorders>
            <w:vAlign w:val="center"/>
            <w:hideMark/>
          </w:tcPr>
          <w:p w:rsidR="00D02FCD" w:rsidRPr="00D02FCD" w:rsidRDefault="00D02FCD" w:rsidP="00D02FCD">
            <w:pPr>
              <w:rPr>
                <w:b/>
                <w:bCs/>
                <w:color w:val="000000"/>
              </w:rPr>
            </w:pPr>
          </w:p>
        </w:tc>
        <w:tc>
          <w:tcPr>
            <w:tcW w:w="4072"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rPr>
                <w:color w:val="000000"/>
              </w:rPr>
            </w:pPr>
            <w:r w:rsidRPr="00D02FCD">
              <w:rPr>
                <w:color w:val="000000"/>
              </w:rPr>
              <w:t>19.2. Xây dựng lực lượng dân quân vững mạnh, rộng khắp, toàn diện và hoàn thành tốt nhiệm vụ quân sự - quốc phòng</w:t>
            </w:r>
          </w:p>
        </w:tc>
        <w:tc>
          <w:tcPr>
            <w:tcW w:w="940"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1683"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shd w:val="clear" w:color="auto" w:fill="auto"/>
            <w:vAlign w:val="center"/>
            <w:hideMark/>
          </w:tcPr>
          <w:p w:rsidR="00D02FCD" w:rsidRPr="00D02FCD" w:rsidRDefault="00D02FCD" w:rsidP="00D02FCD">
            <w:pPr>
              <w:jc w:val="center"/>
              <w:rPr>
                <w:color w:val="000000"/>
              </w:rPr>
            </w:pPr>
            <w:r w:rsidRPr="00D02FCD">
              <w:rPr>
                <w:color w:val="000000"/>
              </w:rPr>
              <w:t>Đạt</w:t>
            </w:r>
          </w:p>
        </w:tc>
        <w:tc>
          <w:tcPr>
            <w:tcW w:w="959" w:type="dxa"/>
            <w:tcBorders>
              <w:top w:val="nil"/>
              <w:left w:val="nil"/>
              <w:bottom w:val="single" w:sz="4" w:space="0" w:color="auto"/>
              <w:right w:val="single" w:sz="4" w:space="0" w:color="auto"/>
            </w:tcBorders>
            <w:vAlign w:val="center"/>
          </w:tcPr>
          <w:p w:rsidR="00D02FCD" w:rsidRPr="00D02FCD" w:rsidRDefault="00D02FCD" w:rsidP="00FA2DFE">
            <w:pPr>
              <w:jc w:val="center"/>
              <w:rPr>
                <w:color w:val="000000"/>
              </w:rPr>
            </w:pPr>
            <w:r w:rsidRPr="00D02FCD">
              <w:rPr>
                <w:color w:val="000000"/>
              </w:rPr>
              <w:t>Đạt</w:t>
            </w:r>
          </w:p>
        </w:tc>
      </w:tr>
    </w:tbl>
    <w:p w:rsidR="00D02FCD" w:rsidRDefault="00D02FCD" w:rsidP="00241BE5">
      <w:pPr>
        <w:spacing w:before="120"/>
        <w:jc w:val="center"/>
        <w:rPr>
          <w:i/>
          <w:iCs/>
          <w:shd w:val="solid" w:color="FFFFFF" w:fill="auto"/>
        </w:rPr>
      </w:pPr>
    </w:p>
    <w:p w:rsidR="00D02FCD" w:rsidRDefault="00D02FCD" w:rsidP="00241BE5">
      <w:pPr>
        <w:spacing w:before="120"/>
        <w:jc w:val="center"/>
        <w:rPr>
          <w:i/>
          <w:iCs/>
          <w:shd w:val="solid" w:color="FFFFFF" w:fill="auto"/>
        </w:rPr>
      </w:pPr>
    </w:p>
    <w:p w:rsidR="00D02FCD" w:rsidRDefault="00D02FCD" w:rsidP="00241BE5">
      <w:pPr>
        <w:spacing w:before="120"/>
        <w:jc w:val="center"/>
        <w:rPr>
          <w:i/>
          <w:iCs/>
          <w:shd w:val="solid" w:color="FFFFFF" w:fill="auto"/>
        </w:rPr>
      </w:pPr>
    </w:p>
    <w:p w:rsidR="00D02FCD" w:rsidRPr="00D02FCD" w:rsidRDefault="00D02FCD" w:rsidP="00241BE5">
      <w:pPr>
        <w:spacing w:before="120"/>
        <w:jc w:val="center"/>
        <w:rPr>
          <w:i/>
          <w:iCs/>
          <w:shd w:val="solid" w:color="FFFFFF" w:fill="auto"/>
        </w:rPr>
      </w:pPr>
    </w:p>
    <w:p w:rsidR="007C075A" w:rsidRDefault="007C075A" w:rsidP="007C075A">
      <w:pPr>
        <w:spacing w:before="120"/>
        <w:jc w:val="center"/>
      </w:pPr>
    </w:p>
    <w:sectPr w:rsidR="007C075A" w:rsidSect="009F0BA6">
      <w:footerReference w:type="default" r:id="rId7"/>
      <w:pgSz w:w="11900" w:h="16840"/>
      <w:pgMar w:top="1134" w:right="1100" w:bottom="1134" w:left="1701" w:header="106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0DE" w:rsidRDefault="007C075A">
      <w:r>
        <w:separator/>
      </w:r>
    </w:p>
  </w:endnote>
  <w:endnote w:type="continuationSeparator" w:id="0">
    <w:p w:rsidR="002240DE" w:rsidRDefault="007C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4A3" w:rsidRDefault="002E4873">
    <w:pPr>
      <w:pStyle w:val="Footer"/>
      <w:jc w:val="center"/>
    </w:pPr>
    <w:r>
      <w:fldChar w:fldCharType="begin"/>
    </w:r>
    <w:r>
      <w:instrText xml:space="preserve"> PAGE   \* MERGEFORMAT </w:instrText>
    </w:r>
    <w:r>
      <w:fldChar w:fldCharType="separate"/>
    </w:r>
    <w:r w:rsidR="00D02FCD">
      <w:rPr>
        <w:noProof/>
      </w:rPr>
      <w:t>5</w:t>
    </w:r>
    <w:r>
      <w:rPr>
        <w:noProof/>
      </w:rPr>
      <w:fldChar w:fldCharType="end"/>
    </w:r>
  </w:p>
  <w:p w:rsidR="003C24A3" w:rsidRDefault="00D02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0DE" w:rsidRDefault="007C075A">
      <w:r>
        <w:separator/>
      </w:r>
    </w:p>
  </w:footnote>
  <w:footnote w:type="continuationSeparator" w:id="0">
    <w:p w:rsidR="002240DE" w:rsidRDefault="007C0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E5"/>
    <w:rsid w:val="002240DE"/>
    <w:rsid w:val="00241BE5"/>
    <w:rsid w:val="002E4873"/>
    <w:rsid w:val="004E6306"/>
    <w:rsid w:val="004F5A7A"/>
    <w:rsid w:val="007C075A"/>
    <w:rsid w:val="00D02FCD"/>
    <w:rsid w:val="00EF0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B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41BE5"/>
    <w:pPr>
      <w:spacing w:before="100" w:beforeAutospacing="1" w:after="100" w:afterAutospacing="1"/>
    </w:pPr>
  </w:style>
  <w:style w:type="paragraph" w:styleId="Footer">
    <w:name w:val="footer"/>
    <w:basedOn w:val="Normal"/>
    <w:link w:val="FooterChar"/>
    <w:uiPriority w:val="99"/>
    <w:unhideWhenUsed/>
    <w:rsid w:val="00241BE5"/>
    <w:pPr>
      <w:tabs>
        <w:tab w:val="center" w:pos="4680"/>
        <w:tab w:val="right" w:pos="9360"/>
      </w:tabs>
    </w:pPr>
  </w:style>
  <w:style w:type="character" w:customStyle="1" w:styleId="FooterChar">
    <w:name w:val="Footer Char"/>
    <w:basedOn w:val="DefaultParagraphFont"/>
    <w:link w:val="Footer"/>
    <w:uiPriority w:val="99"/>
    <w:rsid w:val="00241BE5"/>
    <w:rPr>
      <w:rFonts w:ascii="Times New Roman" w:eastAsia="Times New Roman" w:hAnsi="Times New Roman" w:cs="Times New Roman"/>
      <w:sz w:val="24"/>
      <w:szCs w:val="24"/>
    </w:rPr>
  </w:style>
  <w:style w:type="character" w:styleId="Hyperlink">
    <w:name w:val="Hyperlink"/>
    <w:uiPriority w:val="99"/>
    <w:semiHidden/>
    <w:unhideWhenUsed/>
    <w:rsid w:val="00241B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B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41BE5"/>
    <w:pPr>
      <w:spacing w:before="100" w:beforeAutospacing="1" w:after="100" w:afterAutospacing="1"/>
    </w:pPr>
  </w:style>
  <w:style w:type="paragraph" w:styleId="Footer">
    <w:name w:val="footer"/>
    <w:basedOn w:val="Normal"/>
    <w:link w:val="FooterChar"/>
    <w:uiPriority w:val="99"/>
    <w:unhideWhenUsed/>
    <w:rsid w:val="00241BE5"/>
    <w:pPr>
      <w:tabs>
        <w:tab w:val="center" w:pos="4680"/>
        <w:tab w:val="right" w:pos="9360"/>
      </w:tabs>
    </w:pPr>
  </w:style>
  <w:style w:type="character" w:customStyle="1" w:styleId="FooterChar">
    <w:name w:val="Footer Char"/>
    <w:basedOn w:val="DefaultParagraphFont"/>
    <w:link w:val="Footer"/>
    <w:uiPriority w:val="99"/>
    <w:rsid w:val="00241BE5"/>
    <w:rPr>
      <w:rFonts w:ascii="Times New Roman" w:eastAsia="Times New Roman" w:hAnsi="Times New Roman" w:cs="Times New Roman"/>
      <w:sz w:val="24"/>
      <w:szCs w:val="24"/>
    </w:rPr>
  </w:style>
  <w:style w:type="character" w:styleId="Hyperlink">
    <w:name w:val="Hyperlink"/>
    <w:uiPriority w:val="99"/>
    <w:semiHidden/>
    <w:unhideWhenUsed/>
    <w:rsid w:val="00241B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4529">
      <w:bodyDiv w:val="1"/>
      <w:marLeft w:val="0"/>
      <w:marRight w:val="0"/>
      <w:marTop w:val="0"/>
      <w:marBottom w:val="0"/>
      <w:divBdr>
        <w:top w:val="none" w:sz="0" w:space="0" w:color="auto"/>
        <w:left w:val="none" w:sz="0" w:space="0" w:color="auto"/>
        <w:bottom w:val="none" w:sz="0" w:space="0" w:color="auto"/>
        <w:right w:val="none" w:sz="0" w:space="0" w:color="auto"/>
      </w:divBdr>
    </w:div>
    <w:div w:id="188082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QY5UZ4ZQWDMN-1850682920-106</_dlc_DocId>
    <_dlc_DocIdUrl xmlns="df6cab6d-25a5-4a45-89de-f19c5af208b6">
      <Url>https://longthanh.dongnai.gov.vn/_layouts/15/DocIdRedir.aspx?ID=QY5UZ4ZQWDMN-1850682920-106</Url>
      <Description>QY5UZ4ZQWDMN-1850682920-106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8FB116D-04A6-4C72-96BB-7E01F4E6688E}"/>
</file>

<file path=customXml/itemProps2.xml><?xml version="1.0" encoding="utf-8"?>
<ds:datastoreItem xmlns:ds="http://schemas.openxmlformats.org/officeDocument/2006/customXml" ds:itemID="{B29E0C2D-3D4B-4419-B98C-04B8DB2F3F9C}"/>
</file>

<file path=customXml/itemProps3.xml><?xml version="1.0" encoding="utf-8"?>
<ds:datastoreItem xmlns:ds="http://schemas.openxmlformats.org/officeDocument/2006/customXml" ds:itemID="{25C428DB-DAF4-476B-BFAB-97E1F12EE6BF}"/>
</file>

<file path=customXml/itemProps4.xml><?xml version="1.0" encoding="utf-8"?>
<ds:datastoreItem xmlns:ds="http://schemas.openxmlformats.org/officeDocument/2006/customXml" ds:itemID="{96EEB231-E794-4A0F-8962-8008A973656B}"/>
</file>

<file path=docProps/app.xml><?xml version="1.0" encoding="utf-8"?>
<Properties xmlns="http://schemas.openxmlformats.org/officeDocument/2006/extended-properties" xmlns:vt="http://schemas.openxmlformats.org/officeDocument/2006/docPropsVTypes">
  <Template>Normal</Template>
  <TotalTime>0</TotalTime>
  <Pages>5</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dc:creator>
  <cp:lastModifiedBy>Windows User</cp:lastModifiedBy>
  <cp:revision>2</cp:revision>
  <dcterms:created xsi:type="dcterms:W3CDTF">2022-10-26T18:06:00Z</dcterms:created>
  <dcterms:modified xsi:type="dcterms:W3CDTF">2022-10-26T18:06:00Z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0773da9b-95b6-4915-ad05-888a7fb1501a</vt:lpwstr>
  </property>
</Properties>
</file>